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E616C" w:rsidRDefault="00D86CDF" w:rsidP="00301EBE">
      <w:pPr>
        <w:jc w:val="center"/>
        <w:rPr>
          <w:b/>
          <w:sz w:val="40"/>
        </w:rPr>
      </w:pPr>
      <w:r>
        <w:rPr>
          <w:rFonts w:ascii="Arial Bold" w:hAnsi="Arial Bold"/>
          <w:noProof/>
          <w:sz w:val="28"/>
        </w:rPr>
        <w:drawing>
          <wp:inline distT="0" distB="0" distL="0" distR="0">
            <wp:extent cx="1219200" cy="1244600"/>
            <wp:effectExtent l="25400" t="0" r="0" b="0"/>
            <wp:docPr id="1" name="Picture 1" descr="JPB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PBOM"/>
                    <pic:cNvPicPr>
                      <a:picLocks noChangeAspect="1" noChangeArrowheads="1"/>
                    </pic:cNvPicPr>
                  </pic:nvPicPr>
                  <pic:blipFill>
                    <a:blip r:embed="rId5"/>
                    <a:srcRect/>
                    <a:stretch>
                      <a:fillRect/>
                    </a:stretch>
                  </pic:blipFill>
                  <pic:spPr bwMode="auto">
                    <a:xfrm>
                      <a:off x="0" y="0"/>
                      <a:ext cx="1219200" cy="1244600"/>
                    </a:xfrm>
                    <a:prstGeom prst="rect">
                      <a:avLst/>
                    </a:prstGeom>
                    <a:noFill/>
                    <a:ln w="9525">
                      <a:noFill/>
                      <a:miter lim="800000"/>
                      <a:headEnd/>
                      <a:tailEnd/>
                    </a:ln>
                  </pic:spPr>
                </pic:pic>
              </a:graphicData>
            </a:graphic>
          </wp:inline>
        </w:drawing>
      </w:r>
      <w:r w:rsidR="00301EBE" w:rsidRPr="00301EBE">
        <w:rPr>
          <w:b/>
          <w:sz w:val="40"/>
        </w:rPr>
        <w:t xml:space="preserve"> </w:t>
      </w:r>
    </w:p>
    <w:p w:rsidR="002F2B4A" w:rsidRDefault="00753460" w:rsidP="002F2B4A">
      <w:pPr>
        <w:shd w:val="clear" w:color="auto" w:fill="FFFFFF"/>
        <w:spacing w:before="86" w:after="86" w:line="360" w:lineRule="atLeast"/>
        <w:jc w:val="center"/>
        <w:outlineLvl w:val="0"/>
        <w:rPr>
          <w:rFonts w:eastAsia="Times New Roman" w:cs="Arial"/>
          <w:b/>
          <w:kern w:val="36"/>
          <w:sz w:val="96"/>
          <w:szCs w:val="96"/>
          <w:lang w:eastAsia="en-AU"/>
        </w:rPr>
      </w:pPr>
      <w:r w:rsidRPr="002F2B4A">
        <w:rPr>
          <w:rFonts w:eastAsia="Times New Roman" w:cs="Arial"/>
          <w:b/>
          <w:kern w:val="36"/>
          <w:sz w:val="96"/>
          <w:szCs w:val="96"/>
          <w:lang w:eastAsia="en-AU"/>
        </w:rPr>
        <w:t>Risk Management Policy</w:t>
      </w:r>
    </w:p>
    <w:p w:rsidR="00753460" w:rsidRPr="002F2B4A" w:rsidRDefault="00753460" w:rsidP="002F2B4A">
      <w:pPr>
        <w:shd w:val="clear" w:color="auto" w:fill="FFFFFF"/>
        <w:spacing w:before="86" w:after="86" w:line="360" w:lineRule="atLeast"/>
        <w:jc w:val="center"/>
        <w:outlineLvl w:val="0"/>
        <w:rPr>
          <w:rFonts w:eastAsia="Times New Roman" w:cs="Arial"/>
          <w:b/>
          <w:kern w:val="36"/>
          <w:sz w:val="96"/>
          <w:szCs w:val="96"/>
          <w:lang w:eastAsia="en-AU"/>
        </w:rPr>
      </w:pPr>
    </w:p>
    <w:p w:rsidR="00753460" w:rsidRPr="002F2B4A" w:rsidRDefault="002F2B4A" w:rsidP="00753460">
      <w:pPr>
        <w:shd w:val="clear" w:color="auto" w:fill="FFFFFF"/>
        <w:spacing w:before="86" w:after="86" w:line="360" w:lineRule="atLeast"/>
        <w:jc w:val="center"/>
        <w:outlineLvl w:val="0"/>
        <w:rPr>
          <w:rFonts w:eastAsia="Times New Roman" w:cs="Arial"/>
          <w:b/>
          <w:kern w:val="36"/>
          <w:sz w:val="96"/>
          <w:szCs w:val="96"/>
          <w:lang w:eastAsia="en-AU"/>
        </w:rPr>
      </w:pPr>
      <w:r w:rsidRPr="002F2B4A">
        <w:rPr>
          <w:rFonts w:eastAsia="Times New Roman" w:cs="Arial"/>
          <w:b/>
          <w:noProof/>
          <w:kern w:val="36"/>
          <w:sz w:val="96"/>
          <w:szCs w:val="96"/>
        </w:rPr>
        <w:drawing>
          <wp:inline distT="0" distB="0" distL="0" distR="0">
            <wp:extent cx="4061460" cy="2472193"/>
            <wp:effectExtent l="2540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065086" cy="2474400"/>
                    </a:xfrm>
                    <a:prstGeom prst="rect">
                      <a:avLst/>
                    </a:prstGeom>
                    <a:noFill/>
                    <a:ln w="9525">
                      <a:noFill/>
                      <a:miter lim="800000"/>
                      <a:headEnd/>
                      <a:tailEnd/>
                    </a:ln>
                  </pic:spPr>
                </pic:pic>
              </a:graphicData>
            </a:graphic>
          </wp:inline>
        </w:drawing>
      </w:r>
    </w:p>
    <w:p w:rsidR="000E40FD" w:rsidRDefault="00C277C0" w:rsidP="00C277C0">
      <w:pPr>
        <w:shd w:val="clear" w:color="auto" w:fill="FFFFFF"/>
        <w:spacing w:before="86" w:after="86" w:line="360" w:lineRule="atLeast"/>
        <w:jc w:val="center"/>
        <w:outlineLvl w:val="0"/>
        <w:rPr>
          <w:rFonts w:eastAsia="Times New Roman" w:cs="Arial"/>
          <w:b/>
          <w:kern w:val="36"/>
          <w:sz w:val="96"/>
          <w:szCs w:val="96"/>
          <w:lang w:eastAsia="en-AU"/>
        </w:rPr>
      </w:pPr>
      <w:r>
        <w:rPr>
          <w:rFonts w:eastAsia="Times New Roman" w:cs="Arial"/>
          <w:b/>
          <w:kern w:val="36"/>
          <w:sz w:val="96"/>
          <w:szCs w:val="96"/>
          <w:lang w:eastAsia="en-AU"/>
        </w:rPr>
        <w:t xml:space="preserve">Temporary </w:t>
      </w:r>
      <w:r w:rsidR="00753460" w:rsidRPr="002F2B4A">
        <w:rPr>
          <w:rFonts w:eastAsia="Times New Roman" w:cs="Arial"/>
          <w:b/>
          <w:kern w:val="36"/>
          <w:sz w:val="96"/>
          <w:szCs w:val="96"/>
          <w:lang w:eastAsia="en-AU"/>
        </w:rPr>
        <w:t>Structures</w:t>
      </w:r>
    </w:p>
    <w:p w:rsidR="00753460" w:rsidRPr="007846E1" w:rsidRDefault="007846E1" w:rsidP="007846E1">
      <w:pPr>
        <w:shd w:val="clear" w:color="auto" w:fill="FFFFFF"/>
        <w:spacing w:before="86" w:after="86" w:line="360" w:lineRule="atLeast"/>
        <w:jc w:val="center"/>
        <w:outlineLvl w:val="0"/>
        <w:rPr>
          <w:rFonts w:eastAsia="Times New Roman" w:cs="Arial"/>
          <w:b/>
          <w:kern w:val="36"/>
          <w:sz w:val="96"/>
          <w:szCs w:val="96"/>
          <w:lang w:eastAsia="en-AU"/>
        </w:rPr>
      </w:pPr>
      <w:r>
        <w:rPr>
          <w:rFonts w:eastAsia="Times New Roman" w:cs="Arial"/>
          <w:b/>
          <w:kern w:val="36"/>
          <w:sz w:val="96"/>
          <w:szCs w:val="96"/>
          <w:lang w:eastAsia="en-AU"/>
        </w:rPr>
        <w:t>REVIEWED MARCH 2018</w:t>
      </w:r>
    </w:p>
    <w:p w:rsidR="00753460" w:rsidRPr="000530D5" w:rsidRDefault="00753460" w:rsidP="00753460">
      <w:pPr>
        <w:shd w:val="clear" w:color="auto" w:fill="FFFFFF"/>
        <w:spacing w:before="188" w:after="188"/>
        <w:jc w:val="both"/>
        <w:rPr>
          <w:rFonts w:eastAsia="Times New Roman" w:cs="Arial"/>
          <w:b/>
          <w:i/>
          <w:kern w:val="36"/>
          <w:sz w:val="36"/>
          <w:szCs w:val="36"/>
          <w:lang w:eastAsia="en-AU"/>
        </w:rPr>
      </w:pPr>
      <w:bookmarkStart w:id="0" w:name="_GoBack"/>
      <w:bookmarkEnd w:id="0"/>
      <w:r w:rsidRPr="000530D5">
        <w:rPr>
          <w:rFonts w:eastAsia="Times New Roman" w:cs="Arial"/>
          <w:b/>
          <w:i/>
          <w:kern w:val="36"/>
          <w:sz w:val="36"/>
          <w:szCs w:val="36"/>
          <w:lang w:eastAsia="en-AU"/>
        </w:rPr>
        <w:t>It is a requirement of the Cairns District Junior Rugby League and the Jones Park Board of Management, that all users of Jones Park agree to and follow these guidelines with regard to the construction and use of any temporary structures that users wish to construct for any event.</w:t>
      </w:r>
    </w:p>
    <w:p w:rsidR="00753460" w:rsidRPr="000530D5" w:rsidRDefault="00753460" w:rsidP="00753460">
      <w:pPr>
        <w:shd w:val="clear" w:color="auto" w:fill="FFFFFF"/>
        <w:spacing w:before="188" w:after="188"/>
        <w:jc w:val="both"/>
        <w:rPr>
          <w:rFonts w:eastAsia="Times New Roman" w:cs="Arial"/>
          <w:b/>
          <w:i/>
          <w:kern w:val="36"/>
          <w:sz w:val="36"/>
          <w:szCs w:val="36"/>
          <w:lang w:eastAsia="en-AU"/>
        </w:rPr>
      </w:pPr>
      <w:r w:rsidRPr="000530D5">
        <w:rPr>
          <w:rFonts w:eastAsia="Times New Roman" w:cs="Arial"/>
          <w:b/>
          <w:i/>
          <w:kern w:val="36"/>
          <w:sz w:val="36"/>
          <w:szCs w:val="36"/>
          <w:lang w:eastAsia="en-AU"/>
        </w:rPr>
        <w:t>The guidelines are important in terms of minimising risk of injury to users and the general public, and in terms of protecting any users from litigation.</w:t>
      </w:r>
    </w:p>
    <w:p w:rsidR="00753460" w:rsidRPr="000530D5" w:rsidRDefault="00753460" w:rsidP="00753460">
      <w:pPr>
        <w:shd w:val="clear" w:color="auto" w:fill="FFFFFF"/>
        <w:spacing w:before="188" w:after="188"/>
        <w:jc w:val="both"/>
        <w:rPr>
          <w:rFonts w:eastAsia="Times New Roman" w:cs="Arial"/>
          <w:b/>
          <w:i/>
          <w:kern w:val="36"/>
          <w:sz w:val="36"/>
          <w:szCs w:val="36"/>
          <w:lang w:eastAsia="en-AU"/>
        </w:rPr>
      </w:pPr>
      <w:r w:rsidRPr="000530D5">
        <w:rPr>
          <w:rFonts w:eastAsia="Times New Roman" w:cs="Arial"/>
          <w:b/>
          <w:i/>
          <w:kern w:val="36"/>
          <w:sz w:val="36"/>
          <w:szCs w:val="36"/>
          <w:lang w:eastAsia="en-AU"/>
        </w:rPr>
        <w:t>Any failure to comply with these guidelines could result in an event being cancelled or closed down.</w:t>
      </w:r>
    </w:p>
    <w:p w:rsidR="00753460" w:rsidRPr="000530D5" w:rsidRDefault="00753460" w:rsidP="00753460">
      <w:pPr>
        <w:shd w:val="clear" w:color="auto" w:fill="FFFFFF"/>
        <w:spacing w:before="188" w:after="188"/>
        <w:jc w:val="both"/>
        <w:rPr>
          <w:rFonts w:eastAsia="Times New Roman" w:cs="Arial"/>
          <w:kern w:val="36"/>
          <w:sz w:val="28"/>
          <w:szCs w:val="28"/>
          <w:lang w:eastAsia="en-AU"/>
        </w:rPr>
      </w:pP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Any stages, marquees or other temporary structures you want to have at your event need to be included on a site plan and submitted to the Facility Manager 24 hours prior to the event for approval.  Your structures need to be safe and you may need engineering certification and building approval for certain structures.</w:t>
      </w: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Examples of temporary buildings and structures include:</w:t>
      </w:r>
    </w:p>
    <w:p w:rsidR="00753460" w:rsidRPr="000530D5" w:rsidRDefault="000530D5" w:rsidP="00753460">
      <w:pPr>
        <w:numPr>
          <w:ilvl w:val="0"/>
          <w:numId w:val="6"/>
        </w:numPr>
        <w:shd w:val="clear" w:color="auto" w:fill="FFFFFF"/>
        <w:spacing w:before="100" w:beforeAutospacing="1" w:after="100" w:afterAutospacing="1"/>
        <w:ind w:left="0"/>
        <w:jc w:val="both"/>
        <w:rPr>
          <w:rFonts w:eastAsia="Times New Roman" w:cs="Arial"/>
          <w:color w:val="333333"/>
          <w:sz w:val="28"/>
          <w:szCs w:val="28"/>
          <w:lang w:eastAsia="en-AU"/>
        </w:rPr>
      </w:pPr>
      <w:r w:rsidRPr="000530D5">
        <w:rPr>
          <w:rFonts w:eastAsia="Times New Roman" w:cs="Arial"/>
          <w:color w:val="333333"/>
          <w:sz w:val="28"/>
          <w:szCs w:val="28"/>
          <w:lang w:eastAsia="en-AU"/>
        </w:rPr>
        <w:t>Marquees</w:t>
      </w:r>
    </w:p>
    <w:p w:rsidR="00753460" w:rsidRPr="000530D5" w:rsidRDefault="000530D5" w:rsidP="00753460">
      <w:pPr>
        <w:numPr>
          <w:ilvl w:val="0"/>
          <w:numId w:val="6"/>
        </w:numPr>
        <w:shd w:val="clear" w:color="auto" w:fill="FFFFFF"/>
        <w:spacing w:before="100" w:beforeAutospacing="1" w:after="100" w:afterAutospacing="1"/>
        <w:ind w:left="0"/>
        <w:jc w:val="both"/>
        <w:rPr>
          <w:rFonts w:eastAsia="Times New Roman" w:cs="Arial"/>
          <w:color w:val="333333"/>
          <w:sz w:val="28"/>
          <w:szCs w:val="28"/>
          <w:lang w:eastAsia="en-AU"/>
        </w:rPr>
      </w:pPr>
      <w:r w:rsidRPr="000530D5">
        <w:rPr>
          <w:rFonts w:eastAsia="Times New Roman" w:cs="Arial"/>
          <w:color w:val="333333"/>
          <w:sz w:val="28"/>
          <w:szCs w:val="28"/>
          <w:lang w:eastAsia="en-AU"/>
        </w:rPr>
        <w:t>Viewing</w:t>
      </w:r>
      <w:r w:rsidR="00753460" w:rsidRPr="000530D5">
        <w:rPr>
          <w:rFonts w:eastAsia="Times New Roman" w:cs="Arial"/>
          <w:color w:val="333333"/>
          <w:sz w:val="28"/>
          <w:szCs w:val="28"/>
          <w:lang w:eastAsia="en-AU"/>
        </w:rPr>
        <w:t xml:space="preserve"> towers</w:t>
      </w:r>
    </w:p>
    <w:p w:rsidR="00753460" w:rsidRPr="000530D5" w:rsidRDefault="000530D5" w:rsidP="00753460">
      <w:pPr>
        <w:numPr>
          <w:ilvl w:val="0"/>
          <w:numId w:val="6"/>
        </w:numPr>
        <w:shd w:val="clear" w:color="auto" w:fill="FFFFFF"/>
        <w:spacing w:before="100" w:beforeAutospacing="1" w:after="100" w:afterAutospacing="1"/>
        <w:ind w:left="0"/>
        <w:jc w:val="both"/>
        <w:rPr>
          <w:rFonts w:eastAsia="Times New Roman" w:cs="Arial"/>
          <w:color w:val="333333"/>
          <w:sz w:val="28"/>
          <w:szCs w:val="28"/>
          <w:lang w:eastAsia="en-AU"/>
        </w:rPr>
      </w:pPr>
      <w:r w:rsidRPr="000530D5">
        <w:rPr>
          <w:rFonts w:eastAsia="Times New Roman" w:cs="Arial"/>
          <w:color w:val="333333"/>
          <w:sz w:val="28"/>
          <w:szCs w:val="28"/>
          <w:lang w:eastAsia="en-AU"/>
        </w:rPr>
        <w:t>Tents</w:t>
      </w:r>
    </w:p>
    <w:p w:rsidR="00753460" w:rsidRPr="000530D5" w:rsidRDefault="000530D5" w:rsidP="00753460">
      <w:pPr>
        <w:numPr>
          <w:ilvl w:val="0"/>
          <w:numId w:val="6"/>
        </w:numPr>
        <w:shd w:val="clear" w:color="auto" w:fill="FFFFFF"/>
        <w:spacing w:before="100" w:beforeAutospacing="1" w:after="100" w:afterAutospacing="1"/>
        <w:ind w:left="0"/>
        <w:jc w:val="both"/>
        <w:rPr>
          <w:rFonts w:eastAsia="Times New Roman" w:cs="Arial"/>
          <w:color w:val="333333"/>
          <w:sz w:val="28"/>
          <w:szCs w:val="28"/>
          <w:lang w:eastAsia="en-AU"/>
        </w:rPr>
      </w:pPr>
      <w:r w:rsidRPr="000530D5">
        <w:rPr>
          <w:rFonts w:eastAsia="Times New Roman" w:cs="Arial"/>
          <w:color w:val="333333"/>
          <w:sz w:val="28"/>
          <w:szCs w:val="28"/>
          <w:lang w:eastAsia="en-AU"/>
        </w:rPr>
        <w:t>Spectator</w:t>
      </w:r>
      <w:r w:rsidR="00753460" w:rsidRPr="000530D5">
        <w:rPr>
          <w:rFonts w:eastAsia="Times New Roman" w:cs="Arial"/>
          <w:color w:val="333333"/>
          <w:sz w:val="28"/>
          <w:szCs w:val="28"/>
          <w:lang w:eastAsia="en-AU"/>
        </w:rPr>
        <w:t xml:space="preserve"> seating stands</w:t>
      </w:r>
    </w:p>
    <w:p w:rsidR="00753460" w:rsidRPr="000530D5" w:rsidRDefault="000530D5" w:rsidP="00753460">
      <w:pPr>
        <w:numPr>
          <w:ilvl w:val="0"/>
          <w:numId w:val="6"/>
        </w:numPr>
        <w:shd w:val="clear" w:color="auto" w:fill="FFFFFF"/>
        <w:spacing w:before="100" w:beforeAutospacing="1" w:after="100" w:afterAutospacing="1"/>
        <w:ind w:left="0"/>
        <w:jc w:val="both"/>
        <w:rPr>
          <w:rFonts w:eastAsia="Times New Roman" w:cs="Arial"/>
          <w:color w:val="333333"/>
          <w:sz w:val="28"/>
          <w:szCs w:val="28"/>
          <w:lang w:eastAsia="en-AU"/>
        </w:rPr>
      </w:pPr>
      <w:r w:rsidRPr="000530D5">
        <w:rPr>
          <w:rFonts w:eastAsia="Times New Roman" w:cs="Arial"/>
          <w:color w:val="333333"/>
          <w:sz w:val="28"/>
          <w:szCs w:val="28"/>
          <w:lang w:eastAsia="en-AU"/>
        </w:rPr>
        <w:t>Stages</w:t>
      </w:r>
    </w:p>
    <w:p w:rsidR="00753460" w:rsidRPr="000530D5" w:rsidRDefault="000530D5" w:rsidP="00753460">
      <w:pPr>
        <w:numPr>
          <w:ilvl w:val="0"/>
          <w:numId w:val="6"/>
        </w:numPr>
        <w:shd w:val="clear" w:color="auto" w:fill="FFFFFF"/>
        <w:spacing w:before="100" w:beforeAutospacing="1" w:after="100" w:afterAutospacing="1"/>
        <w:ind w:left="0"/>
        <w:jc w:val="both"/>
        <w:rPr>
          <w:rFonts w:eastAsia="Times New Roman" w:cs="Arial"/>
          <w:color w:val="333333"/>
          <w:sz w:val="28"/>
          <w:szCs w:val="28"/>
          <w:lang w:eastAsia="en-AU"/>
        </w:rPr>
      </w:pPr>
      <w:r w:rsidRPr="000530D5">
        <w:rPr>
          <w:rFonts w:eastAsia="Times New Roman" w:cs="Arial"/>
          <w:color w:val="333333"/>
          <w:sz w:val="28"/>
          <w:szCs w:val="28"/>
          <w:lang w:eastAsia="en-AU"/>
        </w:rPr>
        <w:t>Temporary</w:t>
      </w:r>
      <w:r w:rsidR="00753460" w:rsidRPr="000530D5">
        <w:rPr>
          <w:rFonts w:eastAsia="Times New Roman" w:cs="Arial"/>
          <w:color w:val="333333"/>
          <w:sz w:val="28"/>
          <w:szCs w:val="28"/>
          <w:lang w:eastAsia="en-AU"/>
        </w:rPr>
        <w:t xml:space="preserve"> power</w:t>
      </w: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All temporary structures must be constructed in accordance with all relevant Australian Standards.</w:t>
      </w: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Unless prior approval is obtained from the facility manager, all temporary structures must be dismantled and removed from the grounds within 24 hours of the completion of the event.</w:t>
      </w: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p>
    <w:p w:rsidR="00E747D0" w:rsidRDefault="00E747D0" w:rsidP="00753460">
      <w:pPr>
        <w:shd w:val="clear" w:color="auto" w:fill="FFFFFF"/>
        <w:spacing w:before="188" w:after="188"/>
        <w:jc w:val="both"/>
        <w:rPr>
          <w:rFonts w:eastAsia="Times New Roman" w:cs="Arial"/>
          <w:color w:val="333333"/>
          <w:sz w:val="28"/>
          <w:szCs w:val="28"/>
          <w:lang w:eastAsia="en-AU"/>
        </w:rPr>
      </w:pPr>
    </w:p>
    <w:p w:rsidR="00E747D0" w:rsidRDefault="00E747D0" w:rsidP="00753460">
      <w:pPr>
        <w:shd w:val="clear" w:color="auto" w:fill="FFFFFF"/>
        <w:spacing w:before="188" w:after="188"/>
        <w:jc w:val="both"/>
        <w:rPr>
          <w:rFonts w:eastAsia="Times New Roman" w:cs="Arial"/>
          <w:color w:val="333333"/>
          <w:sz w:val="28"/>
          <w:szCs w:val="28"/>
          <w:lang w:eastAsia="en-AU"/>
        </w:rPr>
      </w:pPr>
    </w:p>
    <w:p w:rsidR="00E747D0" w:rsidRDefault="00E747D0" w:rsidP="00753460">
      <w:pPr>
        <w:shd w:val="clear" w:color="auto" w:fill="FFFFFF"/>
        <w:spacing w:before="188" w:after="188"/>
        <w:jc w:val="both"/>
        <w:rPr>
          <w:rFonts w:eastAsia="Times New Roman" w:cs="Arial"/>
          <w:color w:val="333333"/>
          <w:sz w:val="28"/>
          <w:szCs w:val="28"/>
          <w:lang w:eastAsia="en-AU"/>
        </w:rPr>
      </w:pP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p>
    <w:p w:rsidR="00753460" w:rsidRPr="000530D5" w:rsidRDefault="00753460" w:rsidP="00753460">
      <w:pPr>
        <w:shd w:val="clear" w:color="auto" w:fill="FFFFFF"/>
        <w:spacing w:before="188" w:after="188"/>
        <w:jc w:val="both"/>
        <w:rPr>
          <w:rFonts w:eastAsia="Times New Roman" w:cs="Arial"/>
          <w:b/>
          <w:color w:val="333333"/>
          <w:sz w:val="28"/>
          <w:szCs w:val="28"/>
          <w:u w:val="single"/>
          <w:lang w:eastAsia="en-AU"/>
        </w:rPr>
      </w:pPr>
      <w:r w:rsidRPr="000530D5">
        <w:rPr>
          <w:rFonts w:eastAsia="Times New Roman" w:cs="Arial"/>
          <w:b/>
          <w:color w:val="333333"/>
          <w:sz w:val="28"/>
          <w:szCs w:val="28"/>
          <w:u w:val="single"/>
          <w:lang w:eastAsia="en-AU"/>
        </w:rPr>
        <w:t>Marquees and Tents:</w:t>
      </w: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 xml:space="preserve">All marquees and tents must be erected in full compliance with the manufacturer’s recommendations. </w:t>
      </w:r>
    </w:p>
    <w:p w:rsidR="00753460" w:rsidRPr="000530D5" w:rsidRDefault="00753460" w:rsidP="00753460">
      <w:pPr>
        <w:pStyle w:val="ListParagraph"/>
        <w:numPr>
          <w:ilvl w:val="0"/>
          <w:numId w:val="8"/>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All marquees must be anchored with guy ropes and weights.</w:t>
      </w:r>
    </w:p>
    <w:p w:rsidR="00753460" w:rsidRPr="000530D5" w:rsidRDefault="00753460" w:rsidP="00753460">
      <w:pPr>
        <w:pStyle w:val="ListParagraph"/>
        <w:numPr>
          <w:ilvl w:val="0"/>
          <w:numId w:val="8"/>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Stakes used for guy ropes must be in firm ground, and driven in to ground level. If this is not possible and stakes are still above ground level, they must be clearly visible and identified.</w:t>
      </w:r>
    </w:p>
    <w:p w:rsidR="00753460" w:rsidRPr="000530D5" w:rsidRDefault="00753460" w:rsidP="00753460">
      <w:pPr>
        <w:pStyle w:val="ListParagraph"/>
        <w:numPr>
          <w:ilvl w:val="0"/>
          <w:numId w:val="8"/>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Guy ropes must not be a hazard to the passing general public.</w:t>
      </w:r>
    </w:p>
    <w:p w:rsidR="00753460" w:rsidRPr="000530D5" w:rsidRDefault="00753460" w:rsidP="00753460">
      <w:pPr>
        <w:pStyle w:val="ListParagraph"/>
        <w:numPr>
          <w:ilvl w:val="0"/>
          <w:numId w:val="8"/>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If signage is to be affixed to a marquee, it must not place any undue pressure on the structure, particularly in windy conditions.</w:t>
      </w:r>
    </w:p>
    <w:p w:rsidR="00753460" w:rsidRPr="000530D5" w:rsidRDefault="00753460" w:rsidP="00753460">
      <w:pPr>
        <w:pStyle w:val="ListParagraph"/>
        <w:numPr>
          <w:ilvl w:val="0"/>
          <w:numId w:val="8"/>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Any marquee over 100 square metres must have an engineer’s certification and building approval by a registered certifier. Paperwork is to be provided to the facility manager prior to construction.</w:t>
      </w: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In selecting a site for a marquee, the following conditions must be adhered to:</w:t>
      </w:r>
    </w:p>
    <w:p w:rsidR="00753460" w:rsidRPr="000530D5" w:rsidRDefault="00753460" w:rsidP="00753460">
      <w:pPr>
        <w:pStyle w:val="ListParagraph"/>
        <w:numPr>
          <w:ilvl w:val="0"/>
          <w:numId w:val="7"/>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The site must not impede the movement or access of people.</w:t>
      </w:r>
    </w:p>
    <w:p w:rsidR="00753460" w:rsidRPr="000530D5" w:rsidRDefault="00753460" w:rsidP="00753460">
      <w:pPr>
        <w:pStyle w:val="ListParagraph"/>
        <w:numPr>
          <w:ilvl w:val="0"/>
          <w:numId w:val="7"/>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The site must not impede the viewing of an event by others.</w:t>
      </w: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r w:rsidRPr="000530D5">
        <w:rPr>
          <w:rFonts w:eastAsia="Times New Roman" w:cs="Arial"/>
          <w:b/>
          <w:color w:val="333333"/>
          <w:sz w:val="28"/>
          <w:szCs w:val="28"/>
          <w:u w:val="single"/>
          <w:lang w:eastAsia="en-AU"/>
        </w:rPr>
        <w:t>Viewing Towers, Temporary Seating and Stages</w:t>
      </w:r>
      <w:r w:rsidRPr="000530D5">
        <w:rPr>
          <w:rFonts w:eastAsia="Times New Roman" w:cs="Arial"/>
          <w:color w:val="333333"/>
          <w:sz w:val="28"/>
          <w:szCs w:val="28"/>
          <w:lang w:eastAsia="en-AU"/>
        </w:rPr>
        <w:t>:</w:t>
      </w:r>
    </w:p>
    <w:p w:rsidR="00753460" w:rsidRPr="000530D5" w:rsidRDefault="00753460" w:rsidP="00753460">
      <w:pPr>
        <w:shd w:val="clear" w:color="auto" w:fill="FFFFFF"/>
        <w:spacing w:before="188" w:after="188"/>
        <w:jc w:val="both"/>
        <w:rPr>
          <w:rFonts w:cs="Arial"/>
          <w:sz w:val="28"/>
          <w:szCs w:val="28"/>
        </w:rPr>
      </w:pPr>
      <w:r w:rsidRPr="000530D5">
        <w:rPr>
          <w:rFonts w:cs="Arial"/>
          <w:sz w:val="28"/>
          <w:szCs w:val="28"/>
        </w:rPr>
        <w:t>Temporary observation towers, grandstands, supporting temporary buildings, hoardings and stages must be constructed in accordance with all relevant Australian Standards. The organiser must ensure that the structure is not left unattended at any time without barricading and signage at the organiser’s cost to prevent unauthorised public access.</w:t>
      </w:r>
    </w:p>
    <w:p w:rsidR="00753460" w:rsidRPr="000530D5" w:rsidRDefault="00753460" w:rsidP="00753460">
      <w:pPr>
        <w:pStyle w:val="ListParagraph"/>
        <w:numPr>
          <w:ilvl w:val="0"/>
          <w:numId w:val="9"/>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If any observation tower or other temporary structure is more than 1.5 metres in height, the structure must be erected by a qualified person and must be certified by a registered certifier. A copy of the certification is to be provided to the facility manager prior to the commencement of the event.</w:t>
      </w:r>
    </w:p>
    <w:p w:rsidR="00753460" w:rsidRPr="000530D5" w:rsidRDefault="00753460" w:rsidP="00753460">
      <w:pPr>
        <w:pStyle w:val="ListParagraph"/>
        <w:numPr>
          <w:ilvl w:val="0"/>
          <w:numId w:val="9"/>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Any temporary seating for more than twenty (20) people must be erected by a qualified person and certified by a registered certifier. A copy of the certification is to be provided to the facility manager prior to the commencement of the event.</w:t>
      </w:r>
    </w:p>
    <w:p w:rsidR="00753460" w:rsidRPr="000530D5" w:rsidRDefault="00753460" w:rsidP="00753460">
      <w:pPr>
        <w:pStyle w:val="ListParagraph"/>
        <w:numPr>
          <w:ilvl w:val="0"/>
          <w:numId w:val="9"/>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 xml:space="preserve">Any temporary stages must be equipped with steps to allow safe access. Any stage more than 500mm in height must be certified by a registered certifier and a copy of the certification is to be provided to the facility manager prior to the commencement of the event. </w:t>
      </w:r>
    </w:p>
    <w:p w:rsidR="00E747D0" w:rsidRDefault="00753460" w:rsidP="00753460">
      <w:pPr>
        <w:pStyle w:val="ListParagraph"/>
        <w:numPr>
          <w:ilvl w:val="0"/>
          <w:numId w:val="9"/>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No signage is to be fixed to any temporary structure.</w:t>
      </w:r>
    </w:p>
    <w:p w:rsidR="00E747D0" w:rsidRDefault="00E747D0" w:rsidP="00E747D0">
      <w:pPr>
        <w:shd w:val="clear" w:color="auto" w:fill="FFFFFF"/>
        <w:spacing w:before="188" w:after="188"/>
        <w:jc w:val="both"/>
        <w:rPr>
          <w:rFonts w:eastAsia="Times New Roman" w:cs="Arial"/>
          <w:color w:val="333333"/>
          <w:sz w:val="28"/>
          <w:szCs w:val="28"/>
          <w:lang w:eastAsia="en-AU"/>
        </w:rPr>
      </w:pPr>
    </w:p>
    <w:p w:rsidR="00E747D0" w:rsidRDefault="00E747D0" w:rsidP="00E747D0">
      <w:pPr>
        <w:shd w:val="clear" w:color="auto" w:fill="FFFFFF"/>
        <w:spacing w:before="188" w:after="188"/>
        <w:jc w:val="both"/>
        <w:rPr>
          <w:rFonts w:eastAsia="Times New Roman" w:cs="Arial"/>
          <w:color w:val="333333"/>
          <w:sz w:val="28"/>
          <w:szCs w:val="28"/>
          <w:lang w:eastAsia="en-AU"/>
        </w:rPr>
      </w:pPr>
    </w:p>
    <w:p w:rsidR="00753460" w:rsidRPr="00E747D0" w:rsidRDefault="00753460" w:rsidP="00E747D0">
      <w:pPr>
        <w:shd w:val="clear" w:color="auto" w:fill="FFFFFF"/>
        <w:spacing w:before="188" w:after="188"/>
        <w:jc w:val="both"/>
        <w:rPr>
          <w:rFonts w:eastAsia="Times New Roman" w:cs="Arial"/>
          <w:color w:val="333333"/>
          <w:sz w:val="28"/>
          <w:szCs w:val="28"/>
          <w:lang w:eastAsia="en-AU"/>
        </w:rPr>
      </w:pP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r w:rsidRPr="000530D5">
        <w:rPr>
          <w:rFonts w:eastAsia="Times New Roman" w:cs="Arial"/>
          <w:b/>
          <w:color w:val="333333"/>
          <w:sz w:val="28"/>
          <w:szCs w:val="28"/>
          <w:u w:val="single"/>
          <w:lang w:eastAsia="en-AU"/>
        </w:rPr>
        <w:t>Temporary Power</w:t>
      </w:r>
      <w:r w:rsidRPr="000530D5">
        <w:rPr>
          <w:rFonts w:eastAsia="Times New Roman" w:cs="Arial"/>
          <w:color w:val="333333"/>
          <w:sz w:val="28"/>
          <w:szCs w:val="28"/>
          <w:lang w:eastAsia="en-AU"/>
        </w:rPr>
        <w:t>:</w:t>
      </w: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If power from mains supply is required for any temporary structure, permission must be obtained from the facility manager. Prior to any approval being given, the facility manager will check that:</w:t>
      </w:r>
    </w:p>
    <w:p w:rsidR="00753460" w:rsidRPr="000530D5" w:rsidRDefault="00753460" w:rsidP="00753460">
      <w:pPr>
        <w:pStyle w:val="ListParagraph"/>
        <w:numPr>
          <w:ilvl w:val="0"/>
          <w:numId w:val="10"/>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All electrical equipment, including extension leads, have been tested and tagged in accordance with regulations</w:t>
      </w:r>
    </w:p>
    <w:p w:rsidR="00753460" w:rsidRPr="000530D5" w:rsidRDefault="00753460" w:rsidP="00753460">
      <w:pPr>
        <w:pStyle w:val="ListParagraph"/>
        <w:numPr>
          <w:ilvl w:val="0"/>
          <w:numId w:val="10"/>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Any portable electrical equipment is double insulated or earth-leakage protected.</w:t>
      </w:r>
    </w:p>
    <w:p w:rsidR="00753460" w:rsidRPr="000530D5" w:rsidRDefault="00753460" w:rsidP="00753460">
      <w:pPr>
        <w:pStyle w:val="ListParagraph"/>
        <w:numPr>
          <w:ilvl w:val="0"/>
          <w:numId w:val="10"/>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All extension leads are supported a minimum of 2 metres above ground. If this is not practical, then in areas where there is foot traffic, leads must be laid out so as to ensure they do not pose a trip hazard. As such, leads on the ground are to be kept clear of moisture, and covered with duct tape or ground mats.</w:t>
      </w:r>
    </w:p>
    <w:p w:rsidR="00753460" w:rsidRPr="000530D5" w:rsidRDefault="00753460" w:rsidP="00753460">
      <w:pPr>
        <w:pStyle w:val="ListParagraph"/>
        <w:numPr>
          <w:ilvl w:val="0"/>
          <w:numId w:val="10"/>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No piggyback plugs or double adapters are permitted. Power boards only are to be used where more than one electrical device is in use.</w:t>
      </w:r>
    </w:p>
    <w:p w:rsidR="00753460" w:rsidRPr="000530D5" w:rsidRDefault="00753460" w:rsidP="00753460">
      <w:pPr>
        <w:pStyle w:val="ListParagraph"/>
        <w:numPr>
          <w:ilvl w:val="0"/>
          <w:numId w:val="10"/>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Portable Residual Power Devices or portable safety switches connected between the mains power access and the equipment are to be used.</w:t>
      </w:r>
    </w:p>
    <w:p w:rsidR="00753460" w:rsidRPr="000530D5" w:rsidRDefault="00753460" w:rsidP="00753460">
      <w:pPr>
        <w:pStyle w:val="ListParagraph"/>
        <w:numPr>
          <w:ilvl w:val="0"/>
          <w:numId w:val="10"/>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The total draw on power by the equipment does not overload the system.</w:t>
      </w:r>
    </w:p>
    <w:p w:rsidR="00753460" w:rsidRPr="000530D5" w:rsidRDefault="00753460" w:rsidP="00753460">
      <w:p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If mains power is not available, or is not sufficient for the event, portable generators may be used, provided approval is obtained from the facility manager. In granting approval, the facility manager will demand, in addition to the above, that:</w:t>
      </w:r>
    </w:p>
    <w:p w:rsidR="00753460" w:rsidRPr="000530D5" w:rsidRDefault="00753460" w:rsidP="00753460">
      <w:pPr>
        <w:pStyle w:val="ListParagraph"/>
        <w:numPr>
          <w:ilvl w:val="0"/>
          <w:numId w:val="11"/>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The location of any generator and the storage of any fuel, is not accessible to the general public.</w:t>
      </w:r>
    </w:p>
    <w:p w:rsidR="00753460" w:rsidRPr="000530D5" w:rsidRDefault="00753460" w:rsidP="00753460">
      <w:pPr>
        <w:pStyle w:val="ListParagraph"/>
        <w:numPr>
          <w:ilvl w:val="0"/>
          <w:numId w:val="11"/>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Hot re-fuelling is not carried out.</w:t>
      </w:r>
    </w:p>
    <w:p w:rsidR="00753460" w:rsidRPr="000530D5" w:rsidRDefault="00753460" w:rsidP="00753460">
      <w:pPr>
        <w:pStyle w:val="ListParagraph"/>
        <w:numPr>
          <w:ilvl w:val="0"/>
          <w:numId w:val="11"/>
        </w:numPr>
        <w:shd w:val="clear" w:color="auto" w:fill="FFFFFF"/>
        <w:spacing w:before="188" w:after="188"/>
        <w:jc w:val="both"/>
        <w:rPr>
          <w:rFonts w:eastAsia="Times New Roman" w:cs="Arial"/>
          <w:color w:val="333333"/>
          <w:sz w:val="28"/>
          <w:szCs w:val="28"/>
          <w:lang w:eastAsia="en-AU"/>
        </w:rPr>
      </w:pPr>
      <w:r w:rsidRPr="000530D5">
        <w:rPr>
          <w:rFonts w:eastAsia="Times New Roman" w:cs="Arial"/>
          <w:color w:val="333333"/>
          <w:sz w:val="28"/>
          <w:szCs w:val="28"/>
          <w:lang w:eastAsia="en-AU"/>
        </w:rPr>
        <w:t>There is no potential noise nuisance for close by neighbours.</w:t>
      </w:r>
    </w:p>
    <w:p w:rsidR="00753460" w:rsidRPr="000530D5" w:rsidRDefault="00753460" w:rsidP="00753460">
      <w:pPr>
        <w:shd w:val="clear" w:color="auto" w:fill="FFFFFF"/>
        <w:spacing w:before="188" w:after="188"/>
        <w:jc w:val="both"/>
        <w:rPr>
          <w:rFonts w:eastAsia="Times New Roman" w:cs="Arial"/>
          <w:color w:val="333333"/>
          <w:sz w:val="26"/>
          <w:szCs w:val="26"/>
          <w:lang w:eastAsia="en-AU"/>
        </w:rPr>
      </w:pPr>
    </w:p>
    <w:p w:rsidR="00301EBE" w:rsidRPr="000530D5" w:rsidRDefault="00301EBE" w:rsidP="00B1231D"/>
    <w:sectPr w:rsidR="00301EBE" w:rsidRPr="000530D5" w:rsidSect="002542FE">
      <w:pgSz w:w="11900" w:h="16840"/>
      <w:pgMar w:top="1276" w:right="985" w:bottom="709" w:left="1276" w:header="709" w:footer="709" w:gutter="0"/>
      <w:pgBorders w:offsetFrom="page">
        <w:top w:val="single" w:sz="18" w:space="31" w:color="auto"/>
        <w:left w:val="single" w:sz="18" w:space="31" w:color="auto"/>
        <w:bottom w:val="single" w:sz="18" w:space="31" w:color="auto"/>
        <w:right w:val="single" w:sz="18" w:space="31" w:color="auto"/>
      </w:pgBorders>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CA399A"/>
    <w:multiLevelType w:val="hybridMultilevel"/>
    <w:tmpl w:val="0218BF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1409CB"/>
    <w:multiLevelType w:val="multilevel"/>
    <w:tmpl w:val="AECC7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99289A"/>
    <w:multiLevelType w:val="hybridMultilevel"/>
    <w:tmpl w:val="9726FA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6907B99"/>
    <w:multiLevelType w:val="hybridMultilevel"/>
    <w:tmpl w:val="1CAE8378"/>
    <w:lvl w:ilvl="0" w:tplc="1592CA36">
      <w:start w:val="7"/>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F26726"/>
    <w:multiLevelType w:val="hybridMultilevel"/>
    <w:tmpl w:val="C248C876"/>
    <w:lvl w:ilvl="0" w:tplc="57E66D84">
      <w:start w:val="6"/>
      <w:numFmt w:val="bullet"/>
      <w:lvlText w:val="-"/>
      <w:lvlJc w:val="left"/>
      <w:pPr>
        <w:ind w:left="1800" w:hanging="360"/>
      </w:pPr>
      <w:rPr>
        <w:rFonts w:ascii="Cambria" w:eastAsiaTheme="minorHAnsi"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C741A64"/>
    <w:multiLevelType w:val="hybridMultilevel"/>
    <w:tmpl w:val="98A2E7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1D745E8"/>
    <w:multiLevelType w:val="hybridMultilevel"/>
    <w:tmpl w:val="0A92D0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3CE2490"/>
    <w:multiLevelType w:val="hybridMultilevel"/>
    <w:tmpl w:val="E92489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764424C"/>
    <w:multiLevelType w:val="hybridMultilevel"/>
    <w:tmpl w:val="17B00E7A"/>
    <w:lvl w:ilvl="0" w:tplc="6DFE1BC8">
      <w:start w:val="2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F365AF"/>
    <w:multiLevelType w:val="hybridMultilevel"/>
    <w:tmpl w:val="93A4A3DC"/>
    <w:lvl w:ilvl="0" w:tplc="CB2CED70">
      <w:start w:val="3"/>
      <w:numFmt w:val="bullet"/>
      <w:lvlText w:val="-"/>
      <w:lvlJc w:val="left"/>
      <w:pPr>
        <w:ind w:left="1440" w:hanging="72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E931B26"/>
    <w:multiLevelType w:val="hybridMultilevel"/>
    <w:tmpl w:val="BA28497A"/>
    <w:lvl w:ilvl="0" w:tplc="0B5AD340">
      <w:start w:val="100"/>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num>
  <w:num w:numId="4">
    <w:abstractNumId w:val="10"/>
  </w:num>
  <w:num w:numId="5">
    <w:abstractNumId w:val="3"/>
  </w:num>
  <w:num w:numId="6">
    <w:abstractNumId w:val="1"/>
  </w:num>
  <w:num w:numId="7">
    <w:abstractNumId w:val="0"/>
  </w:num>
  <w:num w:numId="8">
    <w:abstractNumId w:val="2"/>
  </w:num>
  <w:num w:numId="9">
    <w:abstractNumId w:val="5"/>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compat/>
  <w:rsids>
    <w:rsidRoot w:val="009F3FDA"/>
    <w:rsid w:val="00001E24"/>
    <w:rsid w:val="00005D81"/>
    <w:rsid w:val="0000728B"/>
    <w:rsid w:val="0001278C"/>
    <w:rsid w:val="00013D53"/>
    <w:rsid w:val="0001535D"/>
    <w:rsid w:val="000172D8"/>
    <w:rsid w:val="0002134F"/>
    <w:rsid w:val="00021CB3"/>
    <w:rsid w:val="00022441"/>
    <w:rsid w:val="00024010"/>
    <w:rsid w:val="0002526B"/>
    <w:rsid w:val="00026452"/>
    <w:rsid w:val="000309C6"/>
    <w:rsid w:val="000410D3"/>
    <w:rsid w:val="00041E68"/>
    <w:rsid w:val="00044A42"/>
    <w:rsid w:val="00046AB2"/>
    <w:rsid w:val="00052181"/>
    <w:rsid w:val="00052FF5"/>
    <w:rsid w:val="000530D5"/>
    <w:rsid w:val="000547EF"/>
    <w:rsid w:val="000552C6"/>
    <w:rsid w:val="00056CD2"/>
    <w:rsid w:val="00064080"/>
    <w:rsid w:val="00066948"/>
    <w:rsid w:val="0007309E"/>
    <w:rsid w:val="000773AA"/>
    <w:rsid w:val="000823B1"/>
    <w:rsid w:val="000828F6"/>
    <w:rsid w:val="00086E0B"/>
    <w:rsid w:val="00090227"/>
    <w:rsid w:val="00091BF5"/>
    <w:rsid w:val="00095EB7"/>
    <w:rsid w:val="00097FCD"/>
    <w:rsid w:val="000A1FCE"/>
    <w:rsid w:val="000A7542"/>
    <w:rsid w:val="000B13C0"/>
    <w:rsid w:val="000B2731"/>
    <w:rsid w:val="000B3809"/>
    <w:rsid w:val="000B3AD7"/>
    <w:rsid w:val="000B419D"/>
    <w:rsid w:val="000C33FF"/>
    <w:rsid w:val="000C397C"/>
    <w:rsid w:val="000C3D8B"/>
    <w:rsid w:val="000C3F7C"/>
    <w:rsid w:val="000C516B"/>
    <w:rsid w:val="000D13F8"/>
    <w:rsid w:val="000D3098"/>
    <w:rsid w:val="000D3EC7"/>
    <w:rsid w:val="000E40FD"/>
    <w:rsid w:val="000F1E5A"/>
    <w:rsid w:val="000F2F3D"/>
    <w:rsid w:val="000F4854"/>
    <w:rsid w:val="000F4B6D"/>
    <w:rsid w:val="00102385"/>
    <w:rsid w:val="00106E65"/>
    <w:rsid w:val="00107503"/>
    <w:rsid w:val="00110195"/>
    <w:rsid w:val="00112039"/>
    <w:rsid w:val="001133AA"/>
    <w:rsid w:val="00125186"/>
    <w:rsid w:val="00126277"/>
    <w:rsid w:val="00132165"/>
    <w:rsid w:val="0013467E"/>
    <w:rsid w:val="00135B6A"/>
    <w:rsid w:val="00135F3D"/>
    <w:rsid w:val="0014352A"/>
    <w:rsid w:val="0015181C"/>
    <w:rsid w:val="00153882"/>
    <w:rsid w:val="00154495"/>
    <w:rsid w:val="001550E1"/>
    <w:rsid w:val="00156BD3"/>
    <w:rsid w:val="00157542"/>
    <w:rsid w:val="001608F3"/>
    <w:rsid w:val="00161824"/>
    <w:rsid w:val="0016615E"/>
    <w:rsid w:val="001717E8"/>
    <w:rsid w:val="0017346E"/>
    <w:rsid w:val="00174650"/>
    <w:rsid w:val="0018436B"/>
    <w:rsid w:val="00185641"/>
    <w:rsid w:val="001857A3"/>
    <w:rsid w:val="0018597E"/>
    <w:rsid w:val="00186A45"/>
    <w:rsid w:val="00192341"/>
    <w:rsid w:val="0019281C"/>
    <w:rsid w:val="00196042"/>
    <w:rsid w:val="001A6C6D"/>
    <w:rsid w:val="001A6D4B"/>
    <w:rsid w:val="001B7E64"/>
    <w:rsid w:val="001C1050"/>
    <w:rsid w:val="001C13C8"/>
    <w:rsid w:val="001C2020"/>
    <w:rsid w:val="001C351C"/>
    <w:rsid w:val="001C3D34"/>
    <w:rsid w:val="001C631A"/>
    <w:rsid w:val="001C6608"/>
    <w:rsid w:val="001D00BF"/>
    <w:rsid w:val="001D3430"/>
    <w:rsid w:val="001D4E1E"/>
    <w:rsid w:val="001D59AA"/>
    <w:rsid w:val="001E14B7"/>
    <w:rsid w:val="001E1A8D"/>
    <w:rsid w:val="001F225A"/>
    <w:rsid w:val="00200680"/>
    <w:rsid w:val="002026A4"/>
    <w:rsid w:val="00204B7B"/>
    <w:rsid w:val="002060AC"/>
    <w:rsid w:val="00214E45"/>
    <w:rsid w:val="00215D12"/>
    <w:rsid w:val="00216AB4"/>
    <w:rsid w:val="00216AD5"/>
    <w:rsid w:val="00221896"/>
    <w:rsid w:val="00221FDC"/>
    <w:rsid w:val="00222E20"/>
    <w:rsid w:val="00223DEA"/>
    <w:rsid w:val="00224402"/>
    <w:rsid w:val="00227426"/>
    <w:rsid w:val="00230E1D"/>
    <w:rsid w:val="00232AC9"/>
    <w:rsid w:val="0023689E"/>
    <w:rsid w:val="00236AF4"/>
    <w:rsid w:val="0023718E"/>
    <w:rsid w:val="002375F2"/>
    <w:rsid w:val="00241A0D"/>
    <w:rsid w:val="00242190"/>
    <w:rsid w:val="0024309F"/>
    <w:rsid w:val="00244284"/>
    <w:rsid w:val="00246090"/>
    <w:rsid w:val="0025153B"/>
    <w:rsid w:val="002541D9"/>
    <w:rsid w:val="002542FE"/>
    <w:rsid w:val="00255AAA"/>
    <w:rsid w:val="00262D27"/>
    <w:rsid w:val="00266F6C"/>
    <w:rsid w:val="00271511"/>
    <w:rsid w:val="00272D97"/>
    <w:rsid w:val="002744EA"/>
    <w:rsid w:val="002758D1"/>
    <w:rsid w:val="002810EE"/>
    <w:rsid w:val="00281F42"/>
    <w:rsid w:val="00282282"/>
    <w:rsid w:val="0028246C"/>
    <w:rsid w:val="00282E62"/>
    <w:rsid w:val="00284A9B"/>
    <w:rsid w:val="00284DB9"/>
    <w:rsid w:val="00286298"/>
    <w:rsid w:val="0028646D"/>
    <w:rsid w:val="002867A7"/>
    <w:rsid w:val="002867D8"/>
    <w:rsid w:val="002911EC"/>
    <w:rsid w:val="00297B9E"/>
    <w:rsid w:val="002A1862"/>
    <w:rsid w:val="002A453E"/>
    <w:rsid w:val="002B3F42"/>
    <w:rsid w:val="002B5B89"/>
    <w:rsid w:val="002C19BF"/>
    <w:rsid w:val="002C3346"/>
    <w:rsid w:val="002C5909"/>
    <w:rsid w:val="002D05D2"/>
    <w:rsid w:val="002D2F0D"/>
    <w:rsid w:val="002E027E"/>
    <w:rsid w:val="002E077B"/>
    <w:rsid w:val="002E3CC4"/>
    <w:rsid w:val="002E6104"/>
    <w:rsid w:val="002F2B4A"/>
    <w:rsid w:val="0030080D"/>
    <w:rsid w:val="00301EBE"/>
    <w:rsid w:val="003047BC"/>
    <w:rsid w:val="00304EA1"/>
    <w:rsid w:val="0030521B"/>
    <w:rsid w:val="00305543"/>
    <w:rsid w:val="003072BF"/>
    <w:rsid w:val="003109C3"/>
    <w:rsid w:val="00315910"/>
    <w:rsid w:val="003229A0"/>
    <w:rsid w:val="00325A30"/>
    <w:rsid w:val="00333720"/>
    <w:rsid w:val="00335F16"/>
    <w:rsid w:val="00336253"/>
    <w:rsid w:val="00337E04"/>
    <w:rsid w:val="003417C9"/>
    <w:rsid w:val="00345598"/>
    <w:rsid w:val="0035188C"/>
    <w:rsid w:val="0035406E"/>
    <w:rsid w:val="0036151A"/>
    <w:rsid w:val="0036171D"/>
    <w:rsid w:val="00362D9B"/>
    <w:rsid w:val="00363C79"/>
    <w:rsid w:val="003653C0"/>
    <w:rsid w:val="00367CC7"/>
    <w:rsid w:val="00375395"/>
    <w:rsid w:val="00376294"/>
    <w:rsid w:val="00377441"/>
    <w:rsid w:val="00380CBC"/>
    <w:rsid w:val="0038306F"/>
    <w:rsid w:val="00390021"/>
    <w:rsid w:val="00392DA6"/>
    <w:rsid w:val="0039300E"/>
    <w:rsid w:val="00395145"/>
    <w:rsid w:val="0039713D"/>
    <w:rsid w:val="003A5661"/>
    <w:rsid w:val="003A77E6"/>
    <w:rsid w:val="003B0BCA"/>
    <w:rsid w:val="003B21BB"/>
    <w:rsid w:val="003B371E"/>
    <w:rsid w:val="003B5634"/>
    <w:rsid w:val="003B7854"/>
    <w:rsid w:val="003C2F3B"/>
    <w:rsid w:val="003C58FD"/>
    <w:rsid w:val="003D251A"/>
    <w:rsid w:val="003D67F8"/>
    <w:rsid w:val="003D7631"/>
    <w:rsid w:val="003E5D15"/>
    <w:rsid w:val="003E5E64"/>
    <w:rsid w:val="003F0986"/>
    <w:rsid w:val="003F1AD4"/>
    <w:rsid w:val="003F5ACB"/>
    <w:rsid w:val="003F6196"/>
    <w:rsid w:val="003F731A"/>
    <w:rsid w:val="004010EA"/>
    <w:rsid w:val="00403A2B"/>
    <w:rsid w:val="0040475F"/>
    <w:rsid w:val="00405436"/>
    <w:rsid w:val="00406C0E"/>
    <w:rsid w:val="0040756D"/>
    <w:rsid w:val="00415D6E"/>
    <w:rsid w:val="00422229"/>
    <w:rsid w:val="00424966"/>
    <w:rsid w:val="0042756F"/>
    <w:rsid w:val="00430C14"/>
    <w:rsid w:val="00432686"/>
    <w:rsid w:val="0043475A"/>
    <w:rsid w:val="004357CD"/>
    <w:rsid w:val="00440665"/>
    <w:rsid w:val="004421A7"/>
    <w:rsid w:val="00442425"/>
    <w:rsid w:val="00442BC6"/>
    <w:rsid w:val="004441FD"/>
    <w:rsid w:val="00446618"/>
    <w:rsid w:val="00446687"/>
    <w:rsid w:val="00452D35"/>
    <w:rsid w:val="0045540C"/>
    <w:rsid w:val="0045669C"/>
    <w:rsid w:val="004625F7"/>
    <w:rsid w:val="00462895"/>
    <w:rsid w:val="004635D4"/>
    <w:rsid w:val="00471F67"/>
    <w:rsid w:val="004723A7"/>
    <w:rsid w:val="00473BCB"/>
    <w:rsid w:val="00474691"/>
    <w:rsid w:val="00475379"/>
    <w:rsid w:val="00476278"/>
    <w:rsid w:val="004778FB"/>
    <w:rsid w:val="00487187"/>
    <w:rsid w:val="004875AD"/>
    <w:rsid w:val="00490D84"/>
    <w:rsid w:val="00494FA6"/>
    <w:rsid w:val="00495D70"/>
    <w:rsid w:val="00495DB1"/>
    <w:rsid w:val="00497F89"/>
    <w:rsid w:val="004A35A7"/>
    <w:rsid w:val="004A41DC"/>
    <w:rsid w:val="004B35BE"/>
    <w:rsid w:val="004B6CB0"/>
    <w:rsid w:val="004B6F7D"/>
    <w:rsid w:val="004C075C"/>
    <w:rsid w:val="004C0D69"/>
    <w:rsid w:val="004C7079"/>
    <w:rsid w:val="004D5600"/>
    <w:rsid w:val="004E5592"/>
    <w:rsid w:val="004E57C1"/>
    <w:rsid w:val="004E616C"/>
    <w:rsid w:val="004E6EFB"/>
    <w:rsid w:val="004F3604"/>
    <w:rsid w:val="004F6E4F"/>
    <w:rsid w:val="0050132B"/>
    <w:rsid w:val="00510439"/>
    <w:rsid w:val="00511755"/>
    <w:rsid w:val="0052017A"/>
    <w:rsid w:val="0052094D"/>
    <w:rsid w:val="00520ED6"/>
    <w:rsid w:val="005233B5"/>
    <w:rsid w:val="005246BB"/>
    <w:rsid w:val="00532D1D"/>
    <w:rsid w:val="00533C67"/>
    <w:rsid w:val="005360C4"/>
    <w:rsid w:val="0054075F"/>
    <w:rsid w:val="005408B7"/>
    <w:rsid w:val="00540E20"/>
    <w:rsid w:val="00544C99"/>
    <w:rsid w:val="0054573D"/>
    <w:rsid w:val="00565469"/>
    <w:rsid w:val="00571043"/>
    <w:rsid w:val="00573529"/>
    <w:rsid w:val="005747EB"/>
    <w:rsid w:val="00580592"/>
    <w:rsid w:val="00586EB8"/>
    <w:rsid w:val="00592411"/>
    <w:rsid w:val="005A2541"/>
    <w:rsid w:val="005A38AE"/>
    <w:rsid w:val="005A3DCF"/>
    <w:rsid w:val="005A43E7"/>
    <w:rsid w:val="005A5F66"/>
    <w:rsid w:val="005B098F"/>
    <w:rsid w:val="005B17DD"/>
    <w:rsid w:val="005B26D2"/>
    <w:rsid w:val="005B2AC1"/>
    <w:rsid w:val="005C108F"/>
    <w:rsid w:val="005C4042"/>
    <w:rsid w:val="005C4A84"/>
    <w:rsid w:val="005C4FEE"/>
    <w:rsid w:val="005C5F9B"/>
    <w:rsid w:val="005C6457"/>
    <w:rsid w:val="005D069B"/>
    <w:rsid w:val="005D17C7"/>
    <w:rsid w:val="005D1B2F"/>
    <w:rsid w:val="005D7BF8"/>
    <w:rsid w:val="005E15ED"/>
    <w:rsid w:val="005E687A"/>
    <w:rsid w:val="005E6CC8"/>
    <w:rsid w:val="005E72C1"/>
    <w:rsid w:val="005F2DEB"/>
    <w:rsid w:val="005F5C3F"/>
    <w:rsid w:val="00600537"/>
    <w:rsid w:val="00601D7F"/>
    <w:rsid w:val="00603061"/>
    <w:rsid w:val="00603C21"/>
    <w:rsid w:val="0060605C"/>
    <w:rsid w:val="00617755"/>
    <w:rsid w:val="00620337"/>
    <w:rsid w:val="006218E9"/>
    <w:rsid w:val="00622EBB"/>
    <w:rsid w:val="00630468"/>
    <w:rsid w:val="00634706"/>
    <w:rsid w:val="00641A7F"/>
    <w:rsid w:val="0064546C"/>
    <w:rsid w:val="00646021"/>
    <w:rsid w:val="00650477"/>
    <w:rsid w:val="0065146A"/>
    <w:rsid w:val="006518F0"/>
    <w:rsid w:val="006557B7"/>
    <w:rsid w:val="00660411"/>
    <w:rsid w:val="00660521"/>
    <w:rsid w:val="00661EC0"/>
    <w:rsid w:val="00665850"/>
    <w:rsid w:val="006670F6"/>
    <w:rsid w:val="00670319"/>
    <w:rsid w:val="00673508"/>
    <w:rsid w:val="00674315"/>
    <w:rsid w:val="00686840"/>
    <w:rsid w:val="00692513"/>
    <w:rsid w:val="0069301E"/>
    <w:rsid w:val="00697B00"/>
    <w:rsid w:val="006A1C3C"/>
    <w:rsid w:val="006A7958"/>
    <w:rsid w:val="006B1116"/>
    <w:rsid w:val="006B1424"/>
    <w:rsid w:val="006B1D20"/>
    <w:rsid w:val="006B35AF"/>
    <w:rsid w:val="006B5E17"/>
    <w:rsid w:val="006B74DE"/>
    <w:rsid w:val="006C01A3"/>
    <w:rsid w:val="006C1CBD"/>
    <w:rsid w:val="006D4560"/>
    <w:rsid w:val="006D4F33"/>
    <w:rsid w:val="006E2612"/>
    <w:rsid w:val="006E358B"/>
    <w:rsid w:val="006E54D6"/>
    <w:rsid w:val="006E7BC2"/>
    <w:rsid w:val="006F58D1"/>
    <w:rsid w:val="00702193"/>
    <w:rsid w:val="00705E22"/>
    <w:rsid w:val="0071465F"/>
    <w:rsid w:val="0071713C"/>
    <w:rsid w:val="0071768C"/>
    <w:rsid w:val="00720E38"/>
    <w:rsid w:val="00722D83"/>
    <w:rsid w:val="00724DF0"/>
    <w:rsid w:val="00735253"/>
    <w:rsid w:val="007361C4"/>
    <w:rsid w:val="00736CCE"/>
    <w:rsid w:val="0075005B"/>
    <w:rsid w:val="00750D6F"/>
    <w:rsid w:val="00753460"/>
    <w:rsid w:val="0075432F"/>
    <w:rsid w:val="0075486B"/>
    <w:rsid w:val="00763A8C"/>
    <w:rsid w:val="0076795F"/>
    <w:rsid w:val="00767B64"/>
    <w:rsid w:val="00772F52"/>
    <w:rsid w:val="00777397"/>
    <w:rsid w:val="00780E8A"/>
    <w:rsid w:val="00782E98"/>
    <w:rsid w:val="007846E1"/>
    <w:rsid w:val="0078575B"/>
    <w:rsid w:val="0078679F"/>
    <w:rsid w:val="00791E92"/>
    <w:rsid w:val="007949D7"/>
    <w:rsid w:val="007A50C0"/>
    <w:rsid w:val="007A5D1E"/>
    <w:rsid w:val="007A7B75"/>
    <w:rsid w:val="007A7CB2"/>
    <w:rsid w:val="007B45A1"/>
    <w:rsid w:val="007B5CB4"/>
    <w:rsid w:val="007B755C"/>
    <w:rsid w:val="007B7E74"/>
    <w:rsid w:val="007C0359"/>
    <w:rsid w:val="007C0651"/>
    <w:rsid w:val="007C4193"/>
    <w:rsid w:val="007C6252"/>
    <w:rsid w:val="007C7268"/>
    <w:rsid w:val="007D0AF4"/>
    <w:rsid w:val="007D0B0B"/>
    <w:rsid w:val="007D1D02"/>
    <w:rsid w:val="007D38FD"/>
    <w:rsid w:val="007D60C5"/>
    <w:rsid w:val="007E03E9"/>
    <w:rsid w:val="007E12B2"/>
    <w:rsid w:val="007E216C"/>
    <w:rsid w:val="007F00E7"/>
    <w:rsid w:val="007F2121"/>
    <w:rsid w:val="007F2FEA"/>
    <w:rsid w:val="0080256B"/>
    <w:rsid w:val="008030AA"/>
    <w:rsid w:val="0080662E"/>
    <w:rsid w:val="0081139B"/>
    <w:rsid w:val="00811A71"/>
    <w:rsid w:val="008145D6"/>
    <w:rsid w:val="00814873"/>
    <w:rsid w:val="008175BB"/>
    <w:rsid w:val="00822B30"/>
    <w:rsid w:val="008276A5"/>
    <w:rsid w:val="00830B62"/>
    <w:rsid w:val="00831275"/>
    <w:rsid w:val="00831506"/>
    <w:rsid w:val="00835DD4"/>
    <w:rsid w:val="00837997"/>
    <w:rsid w:val="008426E8"/>
    <w:rsid w:val="008431E8"/>
    <w:rsid w:val="00846AC4"/>
    <w:rsid w:val="00857368"/>
    <w:rsid w:val="008617DC"/>
    <w:rsid w:val="00862DB0"/>
    <w:rsid w:val="00870239"/>
    <w:rsid w:val="008711C0"/>
    <w:rsid w:val="00874858"/>
    <w:rsid w:val="00875608"/>
    <w:rsid w:val="008765F2"/>
    <w:rsid w:val="00877BAD"/>
    <w:rsid w:val="008839F8"/>
    <w:rsid w:val="0088483A"/>
    <w:rsid w:val="0089001E"/>
    <w:rsid w:val="00890E48"/>
    <w:rsid w:val="0089321D"/>
    <w:rsid w:val="008936EB"/>
    <w:rsid w:val="00893909"/>
    <w:rsid w:val="00895A16"/>
    <w:rsid w:val="008A40E4"/>
    <w:rsid w:val="008B7F68"/>
    <w:rsid w:val="008C1B9E"/>
    <w:rsid w:val="008C3751"/>
    <w:rsid w:val="008C6537"/>
    <w:rsid w:val="008C78C5"/>
    <w:rsid w:val="008C793D"/>
    <w:rsid w:val="008D01B1"/>
    <w:rsid w:val="008D084E"/>
    <w:rsid w:val="008D4607"/>
    <w:rsid w:val="008E0C63"/>
    <w:rsid w:val="008E50CA"/>
    <w:rsid w:val="008E7026"/>
    <w:rsid w:val="008E717D"/>
    <w:rsid w:val="008F3640"/>
    <w:rsid w:val="008F6C7D"/>
    <w:rsid w:val="00900DEB"/>
    <w:rsid w:val="0090277D"/>
    <w:rsid w:val="0090620B"/>
    <w:rsid w:val="0091213A"/>
    <w:rsid w:val="00912206"/>
    <w:rsid w:val="00913F52"/>
    <w:rsid w:val="00923405"/>
    <w:rsid w:val="00931367"/>
    <w:rsid w:val="009317D6"/>
    <w:rsid w:val="00932B30"/>
    <w:rsid w:val="00934059"/>
    <w:rsid w:val="00934ED6"/>
    <w:rsid w:val="00935224"/>
    <w:rsid w:val="00935E48"/>
    <w:rsid w:val="00944CAD"/>
    <w:rsid w:val="00944D30"/>
    <w:rsid w:val="00945970"/>
    <w:rsid w:val="0094738A"/>
    <w:rsid w:val="009529E4"/>
    <w:rsid w:val="00963018"/>
    <w:rsid w:val="00963E62"/>
    <w:rsid w:val="00967E69"/>
    <w:rsid w:val="009707C3"/>
    <w:rsid w:val="0097247C"/>
    <w:rsid w:val="00972E6B"/>
    <w:rsid w:val="00973AE1"/>
    <w:rsid w:val="00973B4E"/>
    <w:rsid w:val="00975797"/>
    <w:rsid w:val="00977644"/>
    <w:rsid w:val="00986910"/>
    <w:rsid w:val="00986E4A"/>
    <w:rsid w:val="00987D56"/>
    <w:rsid w:val="00990DE9"/>
    <w:rsid w:val="009A038C"/>
    <w:rsid w:val="009A47B8"/>
    <w:rsid w:val="009A5B67"/>
    <w:rsid w:val="009B3CF8"/>
    <w:rsid w:val="009B40E9"/>
    <w:rsid w:val="009C30C5"/>
    <w:rsid w:val="009C3544"/>
    <w:rsid w:val="009C5A76"/>
    <w:rsid w:val="009C63B8"/>
    <w:rsid w:val="009D3547"/>
    <w:rsid w:val="009D5AA3"/>
    <w:rsid w:val="009E5184"/>
    <w:rsid w:val="009E595F"/>
    <w:rsid w:val="009F100C"/>
    <w:rsid w:val="009F1F0C"/>
    <w:rsid w:val="009F35CA"/>
    <w:rsid w:val="009F374C"/>
    <w:rsid w:val="009F3823"/>
    <w:rsid w:val="009F3FDA"/>
    <w:rsid w:val="009F6819"/>
    <w:rsid w:val="009F715F"/>
    <w:rsid w:val="00A0029A"/>
    <w:rsid w:val="00A1537B"/>
    <w:rsid w:val="00A15B6F"/>
    <w:rsid w:val="00A166F4"/>
    <w:rsid w:val="00A20275"/>
    <w:rsid w:val="00A21B09"/>
    <w:rsid w:val="00A2298B"/>
    <w:rsid w:val="00A2540A"/>
    <w:rsid w:val="00A26549"/>
    <w:rsid w:val="00A26829"/>
    <w:rsid w:val="00A26959"/>
    <w:rsid w:val="00A275B0"/>
    <w:rsid w:val="00A4598B"/>
    <w:rsid w:val="00A4599D"/>
    <w:rsid w:val="00A45C8F"/>
    <w:rsid w:val="00A4664D"/>
    <w:rsid w:val="00A4670E"/>
    <w:rsid w:val="00A4728D"/>
    <w:rsid w:val="00A472BA"/>
    <w:rsid w:val="00A522A0"/>
    <w:rsid w:val="00A531C9"/>
    <w:rsid w:val="00A53A5E"/>
    <w:rsid w:val="00A55ADF"/>
    <w:rsid w:val="00A55E10"/>
    <w:rsid w:val="00A60FCE"/>
    <w:rsid w:val="00A659B9"/>
    <w:rsid w:val="00A65E94"/>
    <w:rsid w:val="00A67F23"/>
    <w:rsid w:val="00A740E3"/>
    <w:rsid w:val="00A767DD"/>
    <w:rsid w:val="00A76C39"/>
    <w:rsid w:val="00A76FAF"/>
    <w:rsid w:val="00A81197"/>
    <w:rsid w:val="00A8229B"/>
    <w:rsid w:val="00A84248"/>
    <w:rsid w:val="00A86303"/>
    <w:rsid w:val="00A91685"/>
    <w:rsid w:val="00A94489"/>
    <w:rsid w:val="00AA323C"/>
    <w:rsid w:val="00AA72B9"/>
    <w:rsid w:val="00AB07D2"/>
    <w:rsid w:val="00AB2221"/>
    <w:rsid w:val="00AB5E4E"/>
    <w:rsid w:val="00AC2154"/>
    <w:rsid w:val="00AC7B18"/>
    <w:rsid w:val="00AD0231"/>
    <w:rsid w:val="00AD118A"/>
    <w:rsid w:val="00AD15C7"/>
    <w:rsid w:val="00AE0FF6"/>
    <w:rsid w:val="00AE612C"/>
    <w:rsid w:val="00AE6C86"/>
    <w:rsid w:val="00AE757F"/>
    <w:rsid w:val="00AE75A8"/>
    <w:rsid w:val="00AE7695"/>
    <w:rsid w:val="00AF3172"/>
    <w:rsid w:val="00AF48E7"/>
    <w:rsid w:val="00AF710A"/>
    <w:rsid w:val="00B076C3"/>
    <w:rsid w:val="00B11912"/>
    <w:rsid w:val="00B1231D"/>
    <w:rsid w:val="00B14CF3"/>
    <w:rsid w:val="00B156C1"/>
    <w:rsid w:val="00B225A7"/>
    <w:rsid w:val="00B23DA4"/>
    <w:rsid w:val="00B24E0A"/>
    <w:rsid w:val="00B24F90"/>
    <w:rsid w:val="00B26645"/>
    <w:rsid w:val="00B27950"/>
    <w:rsid w:val="00B3195E"/>
    <w:rsid w:val="00B361B2"/>
    <w:rsid w:val="00B43E4E"/>
    <w:rsid w:val="00B5006A"/>
    <w:rsid w:val="00B54576"/>
    <w:rsid w:val="00B577B5"/>
    <w:rsid w:val="00B57F8C"/>
    <w:rsid w:val="00B609C3"/>
    <w:rsid w:val="00B61408"/>
    <w:rsid w:val="00B616EE"/>
    <w:rsid w:val="00B62680"/>
    <w:rsid w:val="00B726BF"/>
    <w:rsid w:val="00B73997"/>
    <w:rsid w:val="00B74953"/>
    <w:rsid w:val="00B7515E"/>
    <w:rsid w:val="00B77D3E"/>
    <w:rsid w:val="00B80F15"/>
    <w:rsid w:val="00B90913"/>
    <w:rsid w:val="00B918FF"/>
    <w:rsid w:val="00B96301"/>
    <w:rsid w:val="00B969D9"/>
    <w:rsid w:val="00BA7C12"/>
    <w:rsid w:val="00BB2559"/>
    <w:rsid w:val="00BB436C"/>
    <w:rsid w:val="00BB626B"/>
    <w:rsid w:val="00BB7812"/>
    <w:rsid w:val="00BB7896"/>
    <w:rsid w:val="00BC0116"/>
    <w:rsid w:val="00BC0798"/>
    <w:rsid w:val="00BC2292"/>
    <w:rsid w:val="00BC25B5"/>
    <w:rsid w:val="00BC265A"/>
    <w:rsid w:val="00BC53B3"/>
    <w:rsid w:val="00BC6028"/>
    <w:rsid w:val="00BD2B9B"/>
    <w:rsid w:val="00BD610D"/>
    <w:rsid w:val="00BE74DA"/>
    <w:rsid w:val="00BF3A93"/>
    <w:rsid w:val="00BF4FCB"/>
    <w:rsid w:val="00BF7D2B"/>
    <w:rsid w:val="00BF7DD6"/>
    <w:rsid w:val="00BF7DF7"/>
    <w:rsid w:val="00C0139E"/>
    <w:rsid w:val="00C05CED"/>
    <w:rsid w:val="00C07EA2"/>
    <w:rsid w:val="00C10656"/>
    <w:rsid w:val="00C108E9"/>
    <w:rsid w:val="00C13B55"/>
    <w:rsid w:val="00C22E85"/>
    <w:rsid w:val="00C277C0"/>
    <w:rsid w:val="00C37A71"/>
    <w:rsid w:val="00C37FEF"/>
    <w:rsid w:val="00C40482"/>
    <w:rsid w:val="00C42C3A"/>
    <w:rsid w:val="00C4522B"/>
    <w:rsid w:val="00C51A44"/>
    <w:rsid w:val="00C53717"/>
    <w:rsid w:val="00C540D9"/>
    <w:rsid w:val="00C54BF4"/>
    <w:rsid w:val="00C56CE6"/>
    <w:rsid w:val="00C6005C"/>
    <w:rsid w:val="00C604E7"/>
    <w:rsid w:val="00C65713"/>
    <w:rsid w:val="00C70615"/>
    <w:rsid w:val="00C772B7"/>
    <w:rsid w:val="00C80E4F"/>
    <w:rsid w:val="00C85EB3"/>
    <w:rsid w:val="00C87648"/>
    <w:rsid w:val="00C93432"/>
    <w:rsid w:val="00C93FAC"/>
    <w:rsid w:val="00C95B45"/>
    <w:rsid w:val="00C96C28"/>
    <w:rsid w:val="00CA323F"/>
    <w:rsid w:val="00CA4C2A"/>
    <w:rsid w:val="00CA64A8"/>
    <w:rsid w:val="00CB1D14"/>
    <w:rsid w:val="00CB3308"/>
    <w:rsid w:val="00CB4014"/>
    <w:rsid w:val="00CB51DD"/>
    <w:rsid w:val="00CB533D"/>
    <w:rsid w:val="00CB7995"/>
    <w:rsid w:val="00CC018C"/>
    <w:rsid w:val="00CC1B84"/>
    <w:rsid w:val="00CE206E"/>
    <w:rsid w:val="00CE3CFD"/>
    <w:rsid w:val="00CE3E9F"/>
    <w:rsid w:val="00CE54B4"/>
    <w:rsid w:val="00CF5AAE"/>
    <w:rsid w:val="00D0035C"/>
    <w:rsid w:val="00D02742"/>
    <w:rsid w:val="00D033B4"/>
    <w:rsid w:val="00D07C20"/>
    <w:rsid w:val="00D107DE"/>
    <w:rsid w:val="00D13C73"/>
    <w:rsid w:val="00D153ED"/>
    <w:rsid w:val="00D16BEF"/>
    <w:rsid w:val="00D247B5"/>
    <w:rsid w:val="00D325E8"/>
    <w:rsid w:val="00D34D26"/>
    <w:rsid w:val="00D37C74"/>
    <w:rsid w:val="00D41379"/>
    <w:rsid w:val="00D4432D"/>
    <w:rsid w:val="00D5492B"/>
    <w:rsid w:val="00D5752E"/>
    <w:rsid w:val="00D62660"/>
    <w:rsid w:val="00D63357"/>
    <w:rsid w:val="00D67621"/>
    <w:rsid w:val="00D71417"/>
    <w:rsid w:val="00D73065"/>
    <w:rsid w:val="00D759FB"/>
    <w:rsid w:val="00D779AA"/>
    <w:rsid w:val="00D779B0"/>
    <w:rsid w:val="00D83A52"/>
    <w:rsid w:val="00D83F0B"/>
    <w:rsid w:val="00D8499F"/>
    <w:rsid w:val="00D84A67"/>
    <w:rsid w:val="00D86CDF"/>
    <w:rsid w:val="00D874D4"/>
    <w:rsid w:val="00D95AE2"/>
    <w:rsid w:val="00DA0DAA"/>
    <w:rsid w:val="00DB3B18"/>
    <w:rsid w:val="00DB7F83"/>
    <w:rsid w:val="00DC13D6"/>
    <w:rsid w:val="00DC777F"/>
    <w:rsid w:val="00DC7D63"/>
    <w:rsid w:val="00DD018B"/>
    <w:rsid w:val="00DD517E"/>
    <w:rsid w:val="00DD641A"/>
    <w:rsid w:val="00DD65F1"/>
    <w:rsid w:val="00DE0F17"/>
    <w:rsid w:val="00DE15F8"/>
    <w:rsid w:val="00DE3ED2"/>
    <w:rsid w:val="00DF5E68"/>
    <w:rsid w:val="00E22A24"/>
    <w:rsid w:val="00E2393E"/>
    <w:rsid w:val="00E26938"/>
    <w:rsid w:val="00E30A03"/>
    <w:rsid w:val="00E31E0D"/>
    <w:rsid w:val="00E32D77"/>
    <w:rsid w:val="00E353CA"/>
    <w:rsid w:val="00E40500"/>
    <w:rsid w:val="00E41A2A"/>
    <w:rsid w:val="00E43B6E"/>
    <w:rsid w:val="00E44295"/>
    <w:rsid w:val="00E4719D"/>
    <w:rsid w:val="00E508D6"/>
    <w:rsid w:val="00E53575"/>
    <w:rsid w:val="00E53B7E"/>
    <w:rsid w:val="00E619C1"/>
    <w:rsid w:val="00E652C0"/>
    <w:rsid w:val="00E66FC8"/>
    <w:rsid w:val="00E6794F"/>
    <w:rsid w:val="00E7382F"/>
    <w:rsid w:val="00E743F3"/>
    <w:rsid w:val="00E747D0"/>
    <w:rsid w:val="00E767A1"/>
    <w:rsid w:val="00E81EC0"/>
    <w:rsid w:val="00E83C83"/>
    <w:rsid w:val="00E8710B"/>
    <w:rsid w:val="00E9513F"/>
    <w:rsid w:val="00E96572"/>
    <w:rsid w:val="00EA2405"/>
    <w:rsid w:val="00EA3585"/>
    <w:rsid w:val="00EA4EB5"/>
    <w:rsid w:val="00EA6B01"/>
    <w:rsid w:val="00EB159A"/>
    <w:rsid w:val="00EB3D7D"/>
    <w:rsid w:val="00EB577A"/>
    <w:rsid w:val="00EB6399"/>
    <w:rsid w:val="00EC2B50"/>
    <w:rsid w:val="00EC4E84"/>
    <w:rsid w:val="00EC5AB7"/>
    <w:rsid w:val="00EC61B2"/>
    <w:rsid w:val="00ED1CC0"/>
    <w:rsid w:val="00ED30A4"/>
    <w:rsid w:val="00ED6E97"/>
    <w:rsid w:val="00EE228E"/>
    <w:rsid w:val="00EF46AC"/>
    <w:rsid w:val="00EF75C1"/>
    <w:rsid w:val="00F047DA"/>
    <w:rsid w:val="00F12CFF"/>
    <w:rsid w:val="00F17855"/>
    <w:rsid w:val="00F26C06"/>
    <w:rsid w:val="00F33B5B"/>
    <w:rsid w:val="00F33C28"/>
    <w:rsid w:val="00F35994"/>
    <w:rsid w:val="00F45406"/>
    <w:rsid w:val="00F45F51"/>
    <w:rsid w:val="00F50E91"/>
    <w:rsid w:val="00F510DF"/>
    <w:rsid w:val="00F52801"/>
    <w:rsid w:val="00F61FA9"/>
    <w:rsid w:val="00F6245E"/>
    <w:rsid w:val="00F633ED"/>
    <w:rsid w:val="00F70476"/>
    <w:rsid w:val="00F727CD"/>
    <w:rsid w:val="00F742F8"/>
    <w:rsid w:val="00F7495B"/>
    <w:rsid w:val="00F752F3"/>
    <w:rsid w:val="00F76848"/>
    <w:rsid w:val="00F80C85"/>
    <w:rsid w:val="00F84B64"/>
    <w:rsid w:val="00F91855"/>
    <w:rsid w:val="00FA1985"/>
    <w:rsid w:val="00FA2A17"/>
    <w:rsid w:val="00FA3F3A"/>
    <w:rsid w:val="00FA6777"/>
    <w:rsid w:val="00FA7510"/>
    <w:rsid w:val="00FA77F9"/>
    <w:rsid w:val="00FB1651"/>
    <w:rsid w:val="00FB301D"/>
    <w:rsid w:val="00FB4D36"/>
    <w:rsid w:val="00FC2AD0"/>
    <w:rsid w:val="00FC386A"/>
    <w:rsid w:val="00FC4087"/>
    <w:rsid w:val="00FC6CB4"/>
    <w:rsid w:val="00FE0DA7"/>
    <w:rsid w:val="00FE0E07"/>
    <w:rsid w:val="00FE2F3D"/>
    <w:rsid w:val="00FE6150"/>
    <w:rsid w:val="00FE7817"/>
    <w:rsid w:val="00FE7CA3"/>
    <w:rsid w:val="00FF2D0E"/>
    <w:rsid w:val="00FF3D9A"/>
    <w:rsid w:val="00FF49FB"/>
    <w:rsid w:val="00FF66B6"/>
  </w:rsids>
  <m:mathPr>
    <m:mathFont m:val="Britannic Bold"/>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62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652C0"/>
    <w:pPr>
      <w:ind w:left="720"/>
      <w:contextualSpacing/>
    </w:pPr>
  </w:style>
  <w:style w:type="paragraph" w:styleId="BalloonText">
    <w:name w:val="Balloon Text"/>
    <w:basedOn w:val="Normal"/>
    <w:link w:val="BalloonTextChar"/>
    <w:uiPriority w:val="99"/>
    <w:semiHidden/>
    <w:unhideWhenUsed/>
    <w:rsid w:val="000D3E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EC7"/>
    <w:rPr>
      <w:rFonts w:ascii="Tahoma" w:hAnsi="Tahoma" w:cs="Tahoma"/>
      <w:sz w:val="16"/>
      <w:szCs w:val="16"/>
    </w:rPr>
  </w:style>
  <w:style w:type="paragraph" w:styleId="Header">
    <w:name w:val="header"/>
    <w:basedOn w:val="Normal"/>
    <w:link w:val="HeaderChar"/>
    <w:uiPriority w:val="99"/>
    <w:semiHidden/>
    <w:unhideWhenUsed/>
    <w:rsid w:val="000552C6"/>
    <w:pPr>
      <w:tabs>
        <w:tab w:val="center" w:pos="4320"/>
        <w:tab w:val="right" w:pos="8640"/>
      </w:tabs>
      <w:spacing w:after="0"/>
    </w:pPr>
  </w:style>
  <w:style w:type="character" w:customStyle="1" w:styleId="HeaderChar">
    <w:name w:val="Header Char"/>
    <w:basedOn w:val="DefaultParagraphFont"/>
    <w:link w:val="Header"/>
    <w:uiPriority w:val="99"/>
    <w:semiHidden/>
    <w:rsid w:val="000552C6"/>
  </w:style>
  <w:style w:type="paragraph" w:styleId="Footer">
    <w:name w:val="footer"/>
    <w:basedOn w:val="Normal"/>
    <w:link w:val="FooterChar"/>
    <w:uiPriority w:val="99"/>
    <w:semiHidden/>
    <w:unhideWhenUsed/>
    <w:rsid w:val="000552C6"/>
    <w:pPr>
      <w:tabs>
        <w:tab w:val="center" w:pos="4320"/>
        <w:tab w:val="right" w:pos="8640"/>
      </w:tabs>
      <w:spacing w:after="0"/>
    </w:pPr>
  </w:style>
  <w:style w:type="character" w:customStyle="1" w:styleId="FooterChar">
    <w:name w:val="Footer Char"/>
    <w:basedOn w:val="DefaultParagraphFont"/>
    <w:link w:val="Footer"/>
    <w:uiPriority w:val="99"/>
    <w:semiHidden/>
    <w:rsid w:val="000552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6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2C0"/>
    <w:pPr>
      <w:ind w:left="720"/>
      <w:contextualSpacing/>
    </w:pPr>
  </w:style>
  <w:style w:type="paragraph" w:styleId="BalloonText">
    <w:name w:val="Balloon Text"/>
    <w:basedOn w:val="Normal"/>
    <w:link w:val="BalloonTextChar"/>
    <w:uiPriority w:val="99"/>
    <w:semiHidden/>
    <w:unhideWhenUsed/>
    <w:rsid w:val="000D3E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E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1389</TotalTime>
  <Pages>4</Pages>
  <Words>733</Words>
  <Characters>4183</Characters>
  <Application>Microsoft Word 12.0.0</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355</cp:revision>
  <cp:lastPrinted>2017-03-19T22:27:00Z</cp:lastPrinted>
  <dcterms:created xsi:type="dcterms:W3CDTF">2014-01-05T09:17:00Z</dcterms:created>
  <dcterms:modified xsi:type="dcterms:W3CDTF">2018-04-26T04:00:00Z</dcterms:modified>
</cp:coreProperties>
</file>